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Theme="minorEastAsia"/>
          <w:b/>
          <w:i/>
          <w:sz w:val="28"/>
          <w:lang w:val="en-US" w:eastAsia="zh-CN"/>
        </w:rPr>
      </w:pPr>
      <w:bookmarkStart w:id="0" w:name="_CRForeword"/>
      <w:bookmarkEnd w:id="0"/>
      <w:r>
        <w:rPr>
          <w:b/>
          <w:sz w:val="24"/>
        </w:rPr>
        <w:t>3GPP TSG-</w:t>
      </w:r>
      <w:r>
        <w:fldChar w:fldCharType="begin"/>
      </w:r>
      <w:r>
        <w:instrText xml:space="preserve"> DOCPROPERTY  TSG/WGRef  \* MERGEFORMAT </w:instrText>
      </w:r>
      <w:r>
        <w:fldChar w:fldCharType="separate"/>
      </w:r>
      <w:r>
        <w:rPr>
          <w:b/>
          <w:sz w:val="24"/>
        </w:rPr>
        <w:t>RAN</w:t>
      </w:r>
      <w:r>
        <w:rPr>
          <w:rFonts w:hint="eastAsia" w:eastAsia="宋体"/>
          <w:b/>
          <w:sz w:val="24"/>
          <w:lang w:val="en-US" w:eastAsia="zh-CN"/>
        </w:rPr>
        <w:t>3</w:t>
      </w:r>
      <w:r>
        <w:rPr>
          <w:rFonts w:hint="eastAsia" w:eastAsia="宋体"/>
          <w:b/>
          <w:sz w:val="24"/>
          <w:lang w:val="en-US" w:eastAsia="zh-CN"/>
        </w:rPr>
        <w:fldChar w:fldCharType="end"/>
      </w:r>
      <w:r>
        <w:rPr>
          <w:b/>
          <w:sz w:val="24"/>
        </w:rPr>
        <w:t xml:space="preserve"> Meeting #</w:t>
      </w:r>
      <w:r>
        <w:rPr>
          <w:rFonts w:hint="eastAsia" w:eastAsia="宋体"/>
          <w:b/>
          <w:sz w:val="24"/>
          <w:lang w:val="en-US" w:eastAsia="zh-CN"/>
        </w:rPr>
        <w:t>124</w:t>
      </w:r>
      <w:r>
        <w:rPr>
          <w:b/>
          <w:i/>
          <w:sz w:val="28"/>
        </w:rPr>
        <w:tab/>
      </w:r>
      <w:r>
        <w:rPr>
          <w:rFonts w:hint="eastAsia" w:eastAsiaTheme="minorEastAsia"/>
          <w:b/>
          <w:sz w:val="24"/>
        </w:rPr>
        <w:t xml:space="preserve">R3-243751 </w:t>
      </w:r>
    </w:p>
    <w:p>
      <w:pPr>
        <w:pStyle w:val="82"/>
        <w:outlineLvl w:val="0"/>
        <w:rPr>
          <w:b/>
          <w:sz w:val="24"/>
        </w:rPr>
      </w:pPr>
      <w:r>
        <w:rPr>
          <w:rFonts w:hint="eastAsia" w:eastAsia="宋体"/>
          <w:b/>
          <w:sz w:val="24"/>
          <w:lang w:val="en-US" w:eastAsia="zh-CN"/>
        </w:rPr>
        <w:t>Fukuoka</w:t>
      </w:r>
      <w:r>
        <w:rPr>
          <w:rFonts w:hint="eastAsia"/>
          <w:b/>
          <w:sz w:val="24"/>
        </w:rPr>
        <w:t xml:space="preserve">, </w:t>
      </w:r>
      <w:r>
        <w:rPr>
          <w:rFonts w:hint="eastAsia" w:eastAsia="宋体"/>
          <w:b/>
          <w:sz w:val="24"/>
          <w:lang w:val="en-US" w:eastAsia="zh-CN"/>
        </w:rPr>
        <w:t>Japan</w:t>
      </w:r>
      <w:bookmarkStart w:id="19" w:name="_GoBack"/>
      <w:bookmarkEnd w:id="19"/>
      <w:r>
        <w:rPr>
          <w:rFonts w:hint="eastAsia"/>
          <w:b/>
          <w:sz w:val="24"/>
        </w:rPr>
        <w:t xml:space="preserve">, </w:t>
      </w:r>
      <w:r>
        <w:rPr>
          <w:rFonts w:hint="eastAsia" w:eastAsia="宋体"/>
          <w:b/>
          <w:sz w:val="24"/>
          <w:lang w:val="en-US" w:eastAsia="zh-CN"/>
        </w:rPr>
        <w:t>May</w:t>
      </w:r>
      <w:r>
        <w:rPr>
          <w:b/>
          <w:sz w:val="24"/>
        </w:rPr>
        <w:t xml:space="preserve"> </w:t>
      </w:r>
      <w:r>
        <w:rPr>
          <w:rFonts w:hint="eastAsia" w:eastAsia="宋体"/>
          <w:b/>
          <w:sz w:val="24"/>
          <w:lang w:val="en-US" w:eastAsia="zh-CN"/>
        </w:rPr>
        <w:t>20</w:t>
      </w:r>
      <w:r>
        <w:rPr>
          <w:b/>
          <w:sz w:val="24"/>
          <w:vertAlign w:val="superscript"/>
        </w:rPr>
        <w:t>th</w:t>
      </w:r>
      <w:r>
        <w:rPr>
          <w:b/>
          <w:sz w:val="24"/>
        </w:rPr>
        <w:t xml:space="preserve"> – </w:t>
      </w:r>
      <w:r>
        <w:rPr>
          <w:rFonts w:hint="eastAsia" w:eastAsia="宋体"/>
          <w:b/>
          <w:sz w:val="24"/>
          <w:lang w:val="en-US" w:eastAsia="zh-CN"/>
        </w:rPr>
        <w:t>24</w:t>
      </w:r>
      <w:r>
        <w:rPr>
          <w:b/>
          <w:sz w:val="24"/>
          <w:vertAlign w:val="superscript"/>
        </w:rPr>
        <w:t>th</w:t>
      </w:r>
      <w:r>
        <w:rPr>
          <w:b/>
          <w:sz w:val="24"/>
        </w:rPr>
        <w:t xml:space="preserve"> </w:t>
      </w:r>
      <w:r>
        <w:rPr>
          <w:rFonts w:hint="eastAsia"/>
          <w:b/>
          <w:sz w:val="24"/>
        </w:rPr>
        <w:t>, 202</w:t>
      </w:r>
      <w:r>
        <w:rPr>
          <w:b/>
          <w:sz w:val="24"/>
        </w:rPr>
        <w:t>4</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60"/>
        <w:gridCol w:w="725"/>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vAlign w:val="top"/>
          </w:tcPr>
          <w:p>
            <w:pPr>
              <w:pStyle w:val="82"/>
              <w:spacing w:after="0"/>
              <w:jc w:val="right"/>
              <w:rPr>
                <w:rFonts w:hint="default" w:ascii="Arial" w:hAnsi="Arial" w:eastAsia="宋体" w:cs="Times New Roman"/>
                <w:b/>
                <w:sz w:val="28"/>
                <w:lang w:val="en-US" w:eastAsia="zh-CN" w:bidi="ar-SA"/>
              </w:rPr>
            </w:pPr>
            <w:r>
              <w:fldChar w:fldCharType="begin"/>
            </w:r>
            <w:r>
              <w:instrText xml:space="preserve"> DOCPROPERTY  Spec#  \* MERGEFORMAT </w:instrText>
            </w:r>
            <w:r>
              <w:fldChar w:fldCharType="separate"/>
            </w:r>
            <w:r>
              <w:rPr>
                <w:b/>
                <w:sz w:val="28"/>
              </w:rPr>
              <w:t>38.</w:t>
            </w:r>
            <w:r>
              <w:rPr>
                <w:rFonts w:hint="eastAsia" w:eastAsia="宋体"/>
                <w:b/>
                <w:sz w:val="28"/>
                <w:lang w:val="en-US" w:eastAsia="zh-CN"/>
              </w:rPr>
              <w:t>4</w:t>
            </w:r>
            <w:r>
              <w:rPr>
                <w:b/>
                <w:sz w:val="28"/>
              </w:rPr>
              <w:fldChar w:fldCharType="end"/>
            </w:r>
            <w:r>
              <w:rPr>
                <w:rFonts w:hint="eastAsia" w:eastAsia="宋体"/>
                <w:b/>
                <w:sz w:val="28"/>
                <w:lang w:val="en-US" w:eastAsia="zh-CN"/>
              </w:rPr>
              <w:t>70</w:t>
            </w:r>
          </w:p>
        </w:tc>
        <w:tc>
          <w:tcPr>
            <w:tcW w:w="709" w:type="dxa"/>
            <w:vAlign w:val="top"/>
          </w:tcPr>
          <w:p>
            <w:pPr>
              <w:pStyle w:val="82"/>
              <w:spacing w:after="0"/>
              <w:jc w:val="center"/>
              <w:rPr>
                <w:rFonts w:ascii="Arial" w:hAnsi="Arial" w:eastAsia="Times New Roman" w:cs="Times New Roman"/>
                <w:lang w:val="en-GB" w:eastAsia="en-US" w:bidi="ar-SA"/>
              </w:rPr>
            </w:pPr>
            <w:r>
              <w:rPr>
                <w:b/>
                <w:sz w:val="28"/>
              </w:rPr>
              <w:t>CR</w:t>
            </w:r>
          </w:p>
        </w:tc>
        <w:tc>
          <w:tcPr>
            <w:tcW w:w="1260" w:type="dxa"/>
            <w:shd w:val="pct30" w:color="FFFF00" w:fill="auto"/>
            <w:vAlign w:val="top"/>
          </w:tcPr>
          <w:p>
            <w:pPr>
              <w:pStyle w:val="82"/>
              <w:spacing w:after="0"/>
              <w:jc w:val="center"/>
              <w:rPr>
                <w:rFonts w:hint="default" w:ascii="Arial" w:hAnsi="Arial" w:eastAsia="宋体" w:cs="Times New Roman"/>
                <w:lang w:val="en-US" w:eastAsia="zh-CN" w:bidi="ar-SA"/>
              </w:rPr>
            </w:pPr>
            <w:r>
              <w:rPr>
                <w:rFonts w:hint="eastAsia" w:eastAsia="宋体"/>
                <w:b/>
                <w:sz w:val="28"/>
                <w:lang w:val="en-US" w:eastAsia="zh-CN"/>
              </w:rPr>
              <w:t>0151</w:t>
            </w:r>
          </w:p>
        </w:tc>
        <w:tc>
          <w:tcPr>
            <w:tcW w:w="725" w:type="dxa"/>
            <w:vAlign w:val="top"/>
          </w:tcPr>
          <w:p>
            <w:pPr>
              <w:pStyle w:val="82"/>
              <w:tabs>
                <w:tab w:val="right" w:pos="625"/>
              </w:tabs>
              <w:spacing w:after="0"/>
              <w:jc w:val="center"/>
              <w:rPr>
                <w:rFonts w:ascii="Arial" w:hAnsi="Arial" w:eastAsia="Times New Roman" w:cs="Times New Roman"/>
                <w:lang w:val="en-GB" w:eastAsia="en-US" w:bidi="ar-SA"/>
              </w:rPr>
            </w:pPr>
            <w:r>
              <w:rPr>
                <w:b/>
                <w:bCs/>
                <w:sz w:val="28"/>
              </w:rPr>
              <w:t>rev</w:t>
            </w:r>
          </w:p>
        </w:tc>
        <w:tc>
          <w:tcPr>
            <w:tcW w:w="992" w:type="dxa"/>
            <w:shd w:val="pct30" w:color="FFFF00" w:fill="auto"/>
            <w:vAlign w:val="top"/>
          </w:tcPr>
          <w:p>
            <w:pPr>
              <w:pStyle w:val="82"/>
              <w:spacing w:after="0"/>
              <w:jc w:val="center"/>
              <w:rPr>
                <w:rFonts w:hint="eastAsia" w:ascii="Arial" w:hAnsi="Arial" w:eastAsia="宋体" w:cs="Times New Roman"/>
                <w:b/>
                <w:lang w:val="en-US" w:eastAsia="zh-CN" w:bidi="ar-SA"/>
              </w:rPr>
            </w:pPr>
            <w:r>
              <w:rPr>
                <w:rFonts w:hint="eastAsia" w:eastAsia="宋体"/>
                <w:b/>
                <w:sz w:val="28"/>
                <w:lang w:val="en-US" w:eastAsia="zh-CN"/>
              </w:rPr>
              <w:t>-</w:t>
            </w:r>
          </w:p>
        </w:tc>
        <w:tc>
          <w:tcPr>
            <w:tcW w:w="2410" w:type="dxa"/>
            <w:vAlign w:val="top"/>
          </w:tcPr>
          <w:p>
            <w:pPr>
              <w:pStyle w:val="82"/>
              <w:tabs>
                <w:tab w:val="right" w:pos="1825"/>
              </w:tabs>
              <w:spacing w:after="0"/>
              <w:jc w:val="center"/>
              <w:rPr>
                <w:rFonts w:ascii="Arial" w:hAnsi="Arial" w:eastAsia="Times New Roman" w:cs="Times New Roman"/>
                <w:lang w:val="en-GB" w:eastAsia="en-US" w:bidi="ar-SA"/>
              </w:rPr>
            </w:pPr>
            <w:r>
              <w:rPr>
                <w:b/>
                <w:sz w:val="28"/>
                <w:szCs w:val="28"/>
              </w:rPr>
              <w:t>Current version:</w:t>
            </w:r>
          </w:p>
        </w:tc>
        <w:tc>
          <w:tcPr>
            <w:tcW w:w="1701" w:type="dxa"/>
            <w:shd w:val="pct30" w:color="FFFF00" w:fill="auto"/>
            <w:vAlign w:val="top"/>
          </w:tcPr>
          <w:p>
            <w:pPr>
              <w:pStyle w:val="82"/>
              <w:spacing w:after="0"/>
              <w:jc w:val="center"/>
              <w:rPr>
                <w:rFonts w:ascii="Arial" w:hAnsi="Arial" w:eastAsia="Times New Roman" w:cs="Times New Roman"/>
                <w:sz w:val="28"/>
                <w:lang w:val="en-GB" w:eastAsia="en-US" w:bidi="ar-SA"/>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ascii="Arial" w:hAnsi="Arial" w:eastAsia="宋体" w:cs="Times New Roman"/>
                <w:lang w:val="en-US" w:eastAsia="zh-CN" w:bidi="ar-SA"/>
              </w:rPr>
            </w:pPr>
            <w:r>
              <w:rPr>
                <w:rFonts w:hint="eastAsia" w:eastAsia="宋体" w:cs="Times New Roman"/>
                <w:lang w:val="en-US" w:eastAsia="zh-CN" w:bidi="ar-SA"/>
              </w:rPr>
              <w:t>Correction on SIB23 in TS38.470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trHeight w:val="436" w:hRule="atLeast"/>
        </w:trP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hint="default" w:ascii="Arial" w:hAnsi="Arial" w:eastAsia="宋体" w:cs="Times New Roman"/>
                <w:lang w:val="en-US" w:eastAsia="zh-CN" w:bidi="ar-SA"/>
              </w:rPr>
            </w:pPr>
            <w:r>
              <w:fldChar w:fldCharType="begin"/>
            </w:r>
            <w:r>
              <w:instrText xml:space="preserve"> DOCPROPERTY  SourceIfWg  \* MERGEFORMAT </w:instrText>
            </w:r>
            <w:r>
              <w:fldChar w:fldCharType="separate"/>
            </w:r>
            <w:r>
              <w:t>ZTE</w:t>
            </w:r>
            <w:r>
              <w:fldChar w:fldCharType="end"/>
            </w:r>
            <w:r>
              <w:rPr>
                <w:rFonts w:hint="eastAsia" w:eastAsia="宋体"/>
                <w:lang w:val="en-US" w:eastAsia="zh-CN"/>
              </w:rPr>
              <w:t>, Ericsson, Huawei, CATT, Xiaomi, Nokia</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rPr>
                <w:rFonts w:ascii="Arial" w:hAnsi="Arial" w:eastAsia="Times New Roman" w:cs="Times New Roman"/>
                <w:lang w:val="en-GB" w:eastAsia="en-US" w:bidi="ar-SA"/>
              </w:rPr>
            </w:pPr>
            <w:r>
              <w:rPr>
                <w:rFonts w:hint="eastAsia" w:eastAsia="宋体"/>
                <w:lang w:val="en-US" w:eastAsia="zh-CN"/>
              </w:rPr>
              <w:t>R3</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rPr>
                <w:rFonts w:ascii="Arial" w:hAnsi="Arial" w:eastAsia="Times New Roman" w:cs="Times New Roman"/>
                <w:lang w:val="en-GB" w:eastAsia="en-US" w:bidi="ar-SA"/>
              </w:rPr>
            </w:pPr>
            <w:r>
              <w:t>NR_pos_enh2</w:t>
            </w:r>
            <w:r>
              <w:rPr>
                <w:rFonts w:hint="eastAsia"/>
              </w:rPr>
              <w:t>-Core</w:t>
            </w:r>
          </w:p>
        </w:tc>
        <w:tc>
          <w:tcPr>
            <w:tcW w:w="567" w:type="dxa"/>
            <w:tcBorders>
              <w:left w:val="nil"/>
            </w:tcBorders>
            <w:vAlign w:val="top"/>
          </w:tcPr>
          <w:p>
            <w:pPr>
              <w:pStyle w:val="82"/>
              <w:spacing w:after="0"/>
              <w:ind w:right="100" w:rightChars="0"/>
              <w:rPr>
                <w:rFonts w:ascii="Arial" w:hAnsi="Arial" w:eastAsia="Times New Roman" w:cs="Times New Roman"/>
                <w:lang w:val="en-GB" w:eastAsia="en-US" w:bidi="ar-SA"/>
              </w:rPr>
            </w:pPr>
          </w:p>
        </w:tc>
        <w:tc>
          <w:tcPr>
            <w:tcW w:w="1417" w:type="dxa"/>
            <w:gridSpan w:val="3"/>
            <w:tcBorders>
              <w:left w:val="nil"/>
            </w:tcBorders>
            <w:vAlign w:val="top"/>
          </w:tcPr>
          <w:p>
            <w:pPr>
              <w:pStyle w:val="82"/>
              <w:spacing w:after="0"/>
              <w:jc w:val="right"/>
              <w:rPr>
                <w:rFonts w:ascii="Arial" w:hAnsi="Arial" w:eastAsia="Times New Roman" w:cs="Times New Roman"/>
                <w:lang w:val="en-GB" w:eastAsia="en-US" w:bidi="ar-SA"/>
              </w:rPr>
            </w:pPr>
            <w:r>
              <w:rPr>
                <w:b/>
                <w:i/>
              </w:rPr>
              <w:t>Date:</w:t>
            </w:r>
          </w:p>
        </w:tc>
        <w:tc>
          <w:tcPr>
            <w:tcW w:w="2127" w:type="dxa"/>
            <w:tcBorders>
              <w:right w:val="single" w:color="auto" w:sz="4" w:space="0"/>
            </w:tcBorders>
            <w:shd w:val="pct30" w:color="FFFF00" w:fill="auto"/>
            <w:vAlign w:val="top"/>
          </w:tcPr>
          <w:p>
            <w:pPr>
              <w:pStyle w:val="82"/>
              <w:spacing w:after="0"/>
              <w:ind w:left="100" w:leftChars="0"/>
              <w:rPr>
                <w:rFonts w:hint="eastAsia" w:ascii="Arial" w:hAnsi="Arial" w:eastAsia="宋体" w:cs="Times New Roman"/>
                <w:lang w:val="en-US" w:eastAsia="zh-CN" w:bidi="ar-SA"/>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5</w:t>
            </w:r>
            <w:r>
              <w:t>-</w:t>
            </w:r>
            <w:r>
              <w:fldChar w:fldCharType="end"/>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vAlign w:val="top"/>
          </w:tcPr>
          <w:p>
            <w:pPr>
              <w:pStyle w:val="82"/>
              <w:spacing w:after="0"/>
              <w:rPr>
                <w:rFonts w:ascii="Arial" w:hAnsi="Arial" w:eastAsia="Times New Roman" w:cs="Times New Roman"/>
                <w:sz w:val="8"/>
                <w:szCs w:val="8"/>
                <w:lang w:val="en-GB" w:eastAsia="en-US" w:bidi="ar-SA"/>
              </w:rPr>
            </w:pPr>
          </w:p>
        </w:tc>
        <w:tc>
          <w:tcPr>
            <w:tcW w:w="2267" w:type="dxa"/>
            <w:gridSpan w:val="2"/>
            <w:vAlign w:val="top"/>
          </w:tcPr>
          <w:p>
            <w:pPr>
              <w:pStyle w:val="82"/>
              <w:spacing w:after="0"/>
              <w:rPr>
                <w:rFonts w:ascii="Arial" w:hAnsi="Arial" w:eastAsia="Times New Roman" w:cs="Times New Roman"/>
                <w:sz w:val="8"/>
                <w:szCs w:val="8"/>
                <w:lang w:val="en-GB" w:eastAsia="en-US" w:bidi="ar-SA"/>
              </w:rPr>
            </w:pPr>
          </w:p>
        </w:tc>
        <w:tc>
          <w:tcPr>
            <w:tcW w:w="1417" w:type="dxa"/>
            <w:gridSpan w:val="3"/>
            <w:vAlign w:val="top"/>
          </w:tcPr>
          <w:p>
            <w:pPr>
              <w:pStyle w:val="82"/>
              <w:spacing w:after="0"/>
              <w:rPr>
                <w:rFonts w:ascii="Arial" w:hAnsi="Arial" w:eastAsia="Times New Roman" w:cs="Times New Roman"/>
                <w:sz w:val="8"/>
                <w:szCs w:val="8"/>
                <w:lang w:val="en-GB" w:eastAsia="en-US" w:bidi="ar-SA"/>
              </w:rPr>
            </w:pPr>
          </w:p>
        </w:tc>
        <w:tc>
          <w:tcPr>
            <w:tcW w:w="2127" w:type="dxa"/>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vAlign w:val="top"/>
          </w:tcPr>
          <w:p>
            <w:pPr>
              <w:pStyle w:val="82"/>
              <w:spacing w:after="0"/>
              <w:ind w:left="100" w:leftChars="0" w:right="-609" w:rightChars="0"/>
              <w:rPr>
                <w:rFonts w:ascii="Arial" w:hAnsi="Arial" w:eastAsia="Times New Roman" w:cs="Times New Roman"/>
                <w:b/>
                <w:lang w:val="en-GB" w:eastAsia="en-US" w:bidi="ar-SA"/>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vAlign w:val="top"/>
          </w:tcPr>
          <w:p>
            <w:pPr>
              <w:pStyle w:val="82"/>
              <w:spacing w:after="0"/>
              <w:rPr>
                <w:rFonts w:ascii="Arial" w:hAnsi="Arial" w:eastAsia="Times New Roman" w:cs="Times New Roman"/>
                <w:lang w:val="en-GB" w:eastAsia="en-US" w:bidi="ar-SA"/>
              </w:rPr>
            </w:pPr>
          </w:p>
        </w:tc>
        <w:tc>
          <w:tcPr>
            <w:tcW w:w="1417" w:type="dxa"/>
            <w:gridSpan w:val="3"/>
            <w:tcBorders>
              <w:left w:val="nil"/>
            </w:tcBorders>
            <w:vAlign w:val="top"/>
          </w:tcPr>
          <w:p>
            <w:pPr>
              <w:pStyle w:val="82"/>
              <w:spacing w:after="0"/>
              <w:jc w:val="right"/>
              <w:rPr>
                <w:rFonts w:ascii="Arial" w:hAnsi="Arial" w:eastAsia="Times New Roman" w:cs="Times New Roman"/>
                <w:b/>
                <w:i/>
                <w:lang w:val="en-GB" w:eastAsia="en-US" w:bidi="ar-SA"/>
              </w:rPr>
            </w:pPr>
            <w:r>
              <w:rPr>
                <w:b/>
                <w:i/>
              </w:rPr>
              <w:t>Release:</w:t>
            </w:r>
          </w:p>
        </w:tc>
        <w:tc>
          <w:tcPr>
            <w:tcW w:w="2127" w:type="dxa"/>
            <w:tcBorders>
              <w:right w:val="single" w:color="auto" w:sz="4" w:space="0"/>
            </w:tcBorders>
            <w:shd w:val="pct30" w:color="FFFF00" w:fill="auto"/>
            <w:vAlign w:val="top"/>
          </w:tcPr>
          <w:p>
            <w:pPr>
              <w:pStyle w:val="82"/>
              <w:spacing w:after="0"/>
              <w:ind w:left="100" w:leftChars="0"/>
              <w:rPr>
                <w:rFonts w:hint="eastAsia" w:ascii="Arial" w:hAnsi="Arial" w:eastAsia="宋体" w:cs="Times New Roman"/>
                <w:lang w:val="en-US" w:eastAsia="zh-CN" w:bidi="ar-SA"/>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eastAsia" w:eastAsia="宋体" w:cs="Times New Roman"/>
                <w:lang w:val="en-US" w:eastAsia="zh-CN" w:bidi="ar-SA"/>
              </w:rPr>
            </w:pPr>
            <w:r>
              <w:rPr>
                <w:rFonts w:hint="eastAsia" w:eastAsia="宋体" w:cs="Times New Roman"/>
                <w:lang w:val="en-US" w:eastAsia="zh-CN" w:bidi="ar-SA"/>
              </w:rPr>
              <w:t>To support Sidelink positioning, a new SIB23 is introduced to provide cell level sidelink positioning configuration.</w:t>
            </w:r>
          </w:p>
          <w:p>
            <w:pPr>
              <w:pStyle w:val="82"/>
              <w:spacing w:after="0"/>
              <w:rPr>
                <w:rFonts w:hint="eastAsia" w:eastAsia="宋体" w:cs="Times New Roman"/>
                <w:lang w:val="en-US" w:eastAsia="zh-CN" w:bidi="ar-SA"/>
              </w:rPr>
            </w:pPr>
            <w:r>
              <w:rPr>
                <w:rFonts w:hint="eastAsia" w:eastAsia="宋体" w:cs="Times New Roman"/>
                <w:lang w:val="en-US" w:eastAsia="zh-CN" w:bidi="ar-SA"/>
              </w:rPr>
              <w:t>According to agreements in RAN3 106/107e, sidelink related configuration(SIB12,13,14) should be generated by DU. However, current specification requires CU to encode the SIB23, which is not aligned with current sidelink principle:</w:t>
            </w:r>
          </w:p>
          <w:p>
            <w:pPr>
              <w:pStyle w:val="82"/>
              <w:spacing w:after="0"/>
              <w:rPr>
                <w:rFonts w:hint="eastAsia" w:eastAsia="宋体" w:cs="Times New Roman"/>
                <w:lang w:val="en-US" w:eastAsia="zh-CN" w:bidi="ar-SA"/>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5"/>
                    <w:widowControl w:val="0"/>
                    <w:bidi w:val="0"/>
                    <w:jc w:val="both"/>
                    <w:rPr>
                      <w:rFonts w:hint="default" w:ascii="Times New Roman" w:hAnsi="Times New Roman" w:cs="Times New Roman"/>
                      <w:b/>
                      <w:bCs/>
                      <w:sz w:val="20"/>
                      <w:szCs w:val="20"/>
                      <w:highlight w:val="none"/>
                      <w:lang w:val="en-US" w:eastAsia="zh-CN"/>
                    </w:rPr>
                  </w:pPr>
                  <w:bookmarkStart w:id="1" w:name="_Toc23816"/>
                  <w:r>
                    <w:rPr>
                      <w:rFonts w:hint="default" w:ascii="Times New Roman" w:hAnsi="Times New Roman" w:cs="Times New Roman"/>
                      <w:b/>
                      <w:bCs/>
                      <w:sz w:val="20"/>
                      <w:szCs w:val="20"/>
                      <w:highlight w:val="none"/>
                      <w:lang w:val="en-US" w:eastAsia="zh-CN"/>
                    </w:rPr>
                    <w:t>RAN3 #106</w:t>
                  </w:r>
                  <w:bookmarkEnd w:id="1"/>
                </w:p>
                <w:p>
                  <w:pPr>
                    <w:widowControl w:val="0"/>
                    <w:bidi w:val="0"/>
                    <w:jc w:val="both"/>
                    <w:rPr>
                      <w:rFonts w:hint="default" w:ascii="Times New Roman" w:hAnsi="Times New Roman" w:cs="Times New Roman"/>
                      <w:sz w:val="20"/>
                      <w:highlight w:val="none"/>
                    </w:rPr>
                  </w:pPr>
                  <w:r>
                    <w:rPr>
                      <w:rFonts w:hint="default" w:ascii="Times New Roman" w:hAnsi="Times New Roman" w:cs="Times New Roman"/>
                      <w:sz w:val="20"/>
                      <w:szCs w:val="20"/>
                      <w:highlight w:val="none"/>
                    </w:rPr>
                    <w:t>Agreements:</w:t>
                  </w:r>
                </w:p>
                <w:p>
                  <w:pPr>
                    <w:widowControl w:val="0"/>
                    <w:bidi w:val="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The sidelink resource pool is configured in the gNB-DU by OAM</w:t>
                  </w:r>
                </w:p>
                <w:p>
                  <w:pPr>
                    <w:widowControl w:val="0"/>
                    <w:bidi w:val="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Mode 2 SL resources are configured by DU</w:t>
                  </w:r>
                </w:p>
                <w:p>
                  <w:pPr>
                    <w:widowControl w:val="0"/>
                    <w:bidi w:val="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WA: gNB-DU encodes the V2X SIB</w:t>
                  </w:r>
                </w:p>
                <w:p>
                  <w:pPr>
                    <w:pStyle w:val="5"/>
                    <w:widowControl w:val="0"/>
                    <w:bidi w:val="0"/>
                    <w:jc w:val="both"/>
                    <w:rPr>
                      <w:rFonts w:hint="default" w:ascii="Times New Roman" w:hAnsi="Times New Roman" w:cs="Times New Roman"/>
                      <w:b/>
                      <w:bCs/>
                      <w:sz w:val="20"/>
                      <w:szCs w:val="20"/>
                      <w:highlight w:val="none"/>
                      <w:lang w:val="en-US" w:eastAsia="zh-CN"/>
                    </w:rPr>
                  </w:pPr>
                  <w:bookmarkStart w:id="2" w:name="_Toc16624"/>
                  <w:r>
                    <w:rPr>
                      <w:rFonts w:hint="default" w:ascii="Times New Roman" w:hAnsi="Times New Roman" w:cs="Times New Roman"/>
                      <w:b/>
                      <w:bCs/>
                      <w:sz w:val="20"/>
                      <w:szCs w:val="20"/>
                      <w:highlight w:val="none"/>
                      <w:lang w:val="en-US" w:eastAsia="zh-CN"/>
                    </w:rPr>
                    <w:t>RAN3 #107-e</w:t>
                  </w:r>
                  <w:bookmarkEnd w:id="2"/>
                </w:p>
                <w:p>
                  <w:pPr>
                    <w:widowControl w:val="0"/>
                    <w:bidi w:val="0"/>
                    <w:jc w:val="both"/>
                    <w:rPr>
                      <w:rFonts w:hint="default" w:ascii="Times New Roman" w:hAnsi="Times New Roman" w:cs="Times New Roman"/>
                      <w:sz w:val="20"/>
                      <w:highlight w:val="none"/>
                    </w:rPr>
                  </w:pPr>
                  <w:r>
                    <w:rPr>
                      <w:rFonts w:hint="default" w:ascii="Times New Roman" w:hAnsi="Times New Roman" w:cs="Times New Roman"/>
                      <w:sz w:val="20"/>
                      <w:szCs w:val="20"/>
                      <w:highlight w:val="none"/>
                    </w:rPr>
                    <w:t>Agreements:</w:t>
                  </w:r>
                </w:p>
                <w:p>
                  <w:pPr>
                    <w:widowControl w:val="0"/>
                    <w:bidi w:val="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gNB-DU encodes the V2X SIB into agreement.</w:t>
                  </w:r>
                </w:p>
                <w:p>
                  <w:pPr>
                    <w:widowControl w:val="0"/>
                    <w:bidi w:val="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gNB-DU System Information IE can be re-used to pass V2X SIBs from gNB-DU to gNB-CU, which shall include SIBX, SIBY, SIBZ (final Naming and number are pending to RAN2 CR).</w:t>
                  </w:r>
                </w:p>
                <w:p>
                  <w:pPr>
                    <w:pStyle w:val="82"/>
                    <w:widowControl w:val="0"/>
                    <w:spacing w:after="0"/>
                    <w:jc w:val="both"/>
                    <w:rPr>
                      <w:rFonts w:hint="default" w:eastAsia="宋体" w:cs="Times New Roman"/>
                      <w:vertAlign w:val="baseline"/>
                      <w:lang w:val="en-US" w:eastAsia="zh-CN" w:bidi="ar-SA"/>
                    </w:rPr>
                  </w:pPr>
                </w:p>
              </w:tc>
            </w:tr>
          </w:tbl>
          <w:p>
            <w:pPr>
              <w:pStyle w:val="82"/>
              <w:spacing w:after="0"/>
              <w:rPr>
                <w:rFonts w:hint="eastAsia" w:eastAsia="宋体" w:cs="Times New Roman"/>
                <w:lang w:val="en-US" w:eastAsia="zh-CN" w:bidi="ar-SA"/>
              </w:rPr>
            </w:pPr>
          </w:p>
          <w:p>
            <w:pPr>
              <w:pStyle w:val="82"/>
              <w:spacing w:after="0"/>
              <w:rPr>
                <w:rFonts w:hint="default" w:ascii="Arial" w:hAnsi="Arial" w:eastAsia="宋体" w:cs="Times New Roman"/>
                <w:lang w:val="en-US" w:eastAsia="zh-CN" w:bidi="ar-SA"/>
              </w:rPr>
            </w:pPr>
            <w:r>
              <w:rPr>
                <w:rFonts w:hint="eastAsia" w:eastAsia="宋体" w:cs="Times New Roman"/>
                <w:lang w:val="en-US" w:eastAsia="zh-CN" w:bidi="ar-SA"/>
              </w:rPr>
              <w:t>Moreover, if sidelink positioning resources is configured by CU, then DU needs to know the corresponding configuration for sidelink positioning resource scheduling. However, we do not have corresponding signaling exchange in F1 interface for both sidelink and sidelink positioning. Therefore, SIB23 should be encoded by DU.</w:t>
            </w:r>
          </w:p>
          <w:p>
            <w:pPr>
              <w:pStyle w:val="82"/>
              <w:spacing w:after="0"/>
              <w:rPr>
                <w:rFonts w:hint="eastAsia" w:eastAsia="宋体" w:cs="Times New Roman"/>
                <w:lang w:val="en-US" w:eastAsia="zh-CN" w:bidi="ar-SA"/>
              </w:rPr>
            </w:pPr>
          </w:p>
          <w:p>
            <w:pPr>
              <w:pStyle w:val="82"/>
              <w:spacing w:after="0"/>
              <w:rPr>
                <w:rFonts w:hint="default"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numPr>
                <w:ilvl w:val="0"/>
                <w:numId w:val="0"/>
              </w:numPr>
              <w:spacing w:after="0"/>
              <w:rPr>
                <w:rFonts w:hint="eastAsia" w:eastAsia="宋体" w:cs="Arial"/>
                <w:sz w:val="18"/>
                <w:lang w:val="en-US" w:eastAsia="zh-CN"/>
              </w:rPr>
            </w:pPr>
            <w:r>
              <w:rPr>
                <w:rFonts w:hint="eastAsia" w:eastAsia="宋体"/>
                <w:lang w:val="en-US" w:eastAsia="zh-CN"/>
              </w:rPr>
              <w:t>Add SIB23 in the SIB list encoded by DU.</w:t>
            </w:r>
          </w:p>
          <w:p>
            <w:pPr>
              <w:pStyle w:val="82"/>
              <w:numPr>
                <w:ilvl w:val="0"/>
                <w:numId w:val="0"/>
              </w:numPr>
              <w:spacing w:after="0"/>
              <w:rPr>
                <w:rFonts w:eastAsia="Times New Roman" w:cs="Arial"/>
                <w:sz w:val="18"/>
                <w:lang w:eastAsia="zh-CN"/>
              </w:rPr>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2"/>
              <w:spacing w:after="0"/>
              <w:ind w:right="200"/>
            </w:pPr>
            <w:r>
              <w:t xml:space="preserve">Impact assessment towards the previous version of the specification (same release): </w:t>
            </w:r>
          </w:p>
          <w:p>
            <w:pPr>
              <w:pStyle w:val="82"/>
              <w:spacing w:after="0"/>
              <w:ind w:right="200"/>
            </w:pPr>
            <w:r>
              <w:t>This CR has</w:t>
            </w:r>
            <w:r>
              <w:rPr>
                <w:rFonts w:hint="eastAsia" w:eastAsia="宋体"/>
                <w:lang w:val="en-US" w:eastAsia="zh-CN"/>
              </w:rPr>
              <w:t xml:space="preserve"> </w:t>
            </w:r>
            <w:r>
              <w:t xml:space="preserve"> </w:t>
            </w:r>
            <w:r>
              <w:rPr>
                <w:bCs/>
              </w:rPr>
              <w:t>isolated impact</w:t>
            </w:r>
            <w:r>
              <w:t xml:space="preserve"> with the previous version of the specification (same release).</w:t>
            </w:r>
          </w:p>
          <w:p>
            <w:pPr>
              <w:pStyle w:val="82"/>
              <w:spacing w:after="0"/>
              <w:ind w:left="10"/>
            </w:pPr>
            <w:r>
              <w:t xml:space="preserve">This CR has impact on the functional point of view, the impact can be considered isolated because it only impacts the </w:t>
            </w:r>
            <w:r>
              <w:rPr>
                <w:rFonts w:hint="eastAsia" w:eastAsia="宋体"/>
                <w:lang w:val="en-US" w:eastAsia="zh-CN"/>
              </w:rPr>
              <w:t>sidelink positioning</w:t>
            </w:r>
            <w:r>
              <w:t>.</w:t>
            </w:r>
          </w:p>
          <w:p>
            <w:pPr>
              <w:pStyle w:val="82"/>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ind w:left="200" w:leftChars="0" w:hanging="200" w:hangingChars="100"/>
              <w:jc w:val="both"/>
              <w:rPr>
                <w:rFonts w:hint="default" w:ascii="Times New Roman" w:hAnsi="Times New Roman" w:eastAsia="宋体" w:cs="Times New Roman"/>
                <w:lang w:val="en-US" w:eastAsia="zh-CN" w:bidi="ar-SA"/>
              </w:rPr>
            </w:pPr>
            <w:r>
              <w:rPr>
                <w:rFonts w:hint="eastAsia" w:ascii="Arial" w:hAnsi="Arial" w:cs="Times New Roman"/>
                <w:lang w:val="en-US" w:eastAsia="zh-CN" w:bidi="ar-SA"/>
              </w:rPr>
              <w:t>CU encodes the SIB23 which violate current sidelink design</w:t>
            </w:r>
            <w:r>
              <w:rPr>
                <w:rFonts w:hint="eastAsia" w:ascii="Arial" w:hAnsi="Arial" w:eastAsia="Times New Roman" w:cs="Times New Roman"/>
                <w:lang w:val="en-US" w:eastAsia="zh-CN" w:bidi="ar-SA"/>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ascii="Arial" w:hAnsi="Arial" w:eastAsia="宋体" w:cs="Times New Roman"/>
                <w:lang w:val="en-US" w:eastAsia="zh-CN" w:bidi="ar-SA"/>
              </w:rPr>
            </w:pPr>
            <w:r>
              <w:rPr>
                <w:rFonts w:hint="eastAsia" w:eastAsia="宋体" w:cs="Times New Roman"/>
                <w:lang w:val="en-US" w:eastAsia="zh-CN" w:bidi="ar-SA"/>
              </w:rPr>
              <w:t>3.2, 5.2.2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hint="default"/>
                <w:lang w:val="en-US"/>
              </w:rPr>
            </w:pPr>
            <w:r>
              <w:t>TS</w:t>
            </w:r>
            <w:r>
              <w:rPr>
                <w:rFonts w:hint="eastAsia" w:eastAsia="宋体"/>
                <w:lang w:val="en-US" w:eastAsia="zh-CN"/>
              </w:rPr>
              <w:t xml:space="preserve"> 38.473</w:t>
            </w:r>
            <w:r>
              <w:t xml:space="preserve"> CR </w:t>
            </w:r>
            <w:r>
              <w:rPr>
                <w:rFonts w:hint="eastAsia" w:eastAsia="宋体"/>
                <w:lang w:val="en-US" w:eastAsia="zh-CN"/>
              </w:rPr>
              <w:t>1437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pStyle w:val="3"/>
      </w:pPr>
      <w:bookmarkStart w:id="3" w:name="_Toc98932574"/>
      <w:bookmarkStart w:id="4" w:name="_Toc112769894"/>
      <w:bookmarkStart w:id="5" w:name="_Toc162622360"/>
      <w:bookmarkStart w:id="6" w:name="_Toc105668003"/>
      <w:r>
        <w:t>3.2</w:t>
      </w:r>
      <w:r>
        <w:tab/>
      </w:r>
      <w:r>
        <w:t>Abbreviations</w:t>
      </w:r>
      <w:bookmarkEnd w:id="3"/>
      <w:bookmarkEnd w:id="4"/>
      <w:bookmarkEnd w:id="5"/>
      <w:bookmarkEnd w:id="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2"/>
      </w:pPr>
      <w:r>
        <w:t>BH</w:t>
      </w:r>
      <w:r>
        <w:tab/>
      </w:r>
      <w:r>
        <w:t>Backhaul</w:t>
      </w:r>
    </w:p>
    <w:p>
      <w:pPr>
        <w:pStyle w:val="62"/>
      </w:pPr>
      <w:r>
        <w:rPr>
          <w:rFonts w:hint="eastAsia"/>
        </w:rPr>
        <w:t>DRB</w:t>
      </w:r>
      <w:r>
        <w:rPr>
          <w:rFonts w:hint="eastAsia"/>
        </w:rPr>
        <w:tab/>
      </w:r>
      <w:r>
        <w:rPr>
          <w:rFonts w:hint="eastAsia"/>
        </w:rPr>
        <w:t>Data Radio Bearers</w:t>
      </w:r>
    </w:p>
    <w:p>
      <w:pPr>
        <w:pStyle w:val="62"/>
      </w:pPr>
      <w:r>
        <w:rPr>
          <w:rFonts w:hint="eastAsia"/>
        </w:rPr>
        <w:t>eDRX</w:t>
      </w:r>
      <w:r>
        <w:rPr>
          <w:rFonts w:hint="eastAsia"/>
        </w:rPr>
        <w:tab/>
      </w:r>
      <w:r>
        <w:rPr>
          <w:rFonts w:hint="eastAsia"/>
        </w:rPr>
        <w:t>extended Discontinuous Reception</w:t>
      </w:r>
    </w:p>
    <w:p>
      <w:pPr>
        <w:pStyle w:val="62"/>
      </w:pPr>
      <w:r>
        <w:t>eRedCap</w:t>
      </w:r>
      <w:r>
        <w:tab/>
      </w:r>
      <w:r>
        <w:t>Enhanced Reduced Capability</w:t>
      </w:r>
    </w:p>
    <w:p>
      <w:pPr>
        <w:pStyle w:val="62"/>
      </w:pPr>
      <w:r>
        <w:t>F1-U</w:t>
      </w:r>
      <w:r>
        <w:tab/>
      </w:r>
      <w:r>
        <w:t>F1 User plane interface</w:t>
      </w:r>
    </w:p>
    <w:p>
      <w:pPr>
        <w:pStyle w:val="62"/>
      </w:pPr>
      <w:r>
        <w:t>F1-C</w:t>
      </w:r>
      <w:r>
        <w:tab/>
      </w:r>
      <w:r>
        <w:t>F1 Control plane interface</w:t>
      </w:r>
    </w:p>
    <w:p>
      <w:pPr>
        <w:pStyle w:val="62"/>
      </w:pPr>
      <w:r>
        <w:t>F1AP</w:t>
      </w:r>
      <w:r>
        <w:tab/>
      </w:r>
      <w:r>
        <w:t>F1 Application Protocol</w:t>
      </w:r>
    </w:p>
    <w:p>
      <w:pPr>
        <w:pStyle w:val="62"/>
      </w:pPr>
      <w:r>
        <w:t>GTP-U</w:t>
      </w:r>
      <w:r>
        <w:tab/>
      </w:r>
      <w:r>
        <w:t xml:space="preserve">GPRS Tunnelling Protocol </w:t>
      </w:r>
    </w:p>
    <w:p>
      <w:pPr>
        <w:pStyle w:val="62"/>
      </w:pPr>
      <w:r>
        <w:rPr>
          <w:lang w:val="en-US"/>
        </w:rPr>
        <w:t>IAB</w:t>
      </w:r>
      <w:r>
        <w:rPr>
          <w:lang w:val="en-US"/>
        </w:rPr>
        <w:tab/>
      </w:r>
      <w:r>
        <w:rPr>
          <w:lang w:val="en-US"/>
        </w:rPr>
        <w:t>Integrated Access and Backhaul</w:t>
      </w:r>
    </w:p>
    <w:p>
      <w:pPr>
        <w:pStyle w:val="62"/>
      </w:pPr>
      <w:r>
        <w:t>IP</w:t>
      </w:r>
      <w:r>
        <w:tab/>
      </w:r>
      <w:r>
        <w:t>Internet Protocol</w:t>
      </w:r>
    </w:p>
    <w:p>
      <w:pPr>
        <w:pStyle w:val="62"/>
      </w:pPr>
      <w:r>
        <w:t>L2</w:t>
      </w:r>
      <w:r>
        <w:tab/>
      </w:r>
      <w:r>
        <w:t>Layer-2</w:t>
      </w:r>
    </w:p>
    <w:p>
      <w:pPr>
        <w:pStyle w:val="62"/>
        <w:rPr>
          <w:rFonts w:eastAsia="宋体"/>
        </w:rPr>
      </w:pPr>
      <w:r>
        <w:t>MBS</w:t>
      </w:r>
      <w:r>
        <w:tab/>
      </w:r>
      <w:r>
        <w:rPr>
          <w:rFonts w:eastAsia="宋体"/>
        </w:rPr>
        <w:t>Multicast/Broadcast Service</w:t>
      </w:r>
    </w:p>
    <w:p>
      <w:pPr>
        <w:pStyle w:val="62"/>
      </w:pPr>
      <w:r>
        <w:rPr>
          <w:rFonts w:hint="eastAsia"/>
        </w:rPr>
        <w:t>M</w:t>
      </w:r>
      <w:r>
        <w:t>P</w:t>
      </w:r>
      <w:r>
        <w:tab/>
      </w:r>
      <w:r>
        <w:t>Multi-Path</w:t>
      </w:r>
    </w:p>
    <w:p>
      <w:pPr>
        <w:pStyle w:val="62"/>
      </w:pPr>
      <w:r>
        <w:t>N3C</w:t>
      </w:r>
      <w:r>
        <w:tab/>
      </w:r>
      <w:r>
        <w:t>Non-3GPP Connection</w:t>
      </w:r>
    </w:p>
    <w:p>
      <w:pPr>
        <w:pStyle w:val="62"/>
      </w:pPr>
      <w:r>
        <w:t>NR-MIB</w:t>
      </w:r>
      <w:r>
        <w:tab/>
      </w:r>
      <w:r>
        <w:t>NR-Master Information Block</w:t>
      </w:r>
    </w:p>
    <w:p>
      <w:pPr>
        <w:pStyle w:val="62"/>
      </w:pPr>
      <w:r>
        <w:t>NSAG</w:t>
      </w:r>
      <w:r>
        <w:tab/>
      </w:r>
      <w:r>
        <w:t>Network Slice AS Group</w:t>
      </w:r>
    </w:p>
    <w:p>
      <w:pPr>
        <w:pStyle w:val="62"/>
      </w:pPr>
      <w:r>
        <w:t>O&amp;M</w:t>
      </w:r>
      <w:r>
        <w:tab/>
      </w:r>
      <w:r>
        <w:t>Operation and Maintenance</w:t>
      </w:r>
    </w:p>
    <w:p>
      <w:pPr>
        <w:pStyle w:val="62"/>
      </w:pPr>
      <w:r>
        <w:t>PA</w:t>
      </w:r>
      <w:r>
        <w:tab/>
      </w:r>
      <w:r>
        <w:t>Paging Area</w:t>
      </w:r>
    </w:p>
    <w:p>
      <w:pPr>
        <w:pStyle w:val="62"/>
      </w:pPr>
      <w:r>
        <w:t>PDC</w:t>
      </w:r>
      <w:r>
        <w:tab/>
      </w:r>
      <w:r>
        <w:t>Propagation Delay Compensation</w:t>
      </w:r>
    </w:p>
    <w:p>
      <w:pPr>
        <w:pStyle w:val="62"/>
      </w:pPr>
      <w:r>
        <w:t>PF</w:t>
      </w:r>
      <w:r>
        <w:tab/>
      </w:r>
      <w:r>
        <w:t>Paging Frame</w:t>
      </w:r>
    </w:p>
    <w:p>
      <w:pPr>
        <w:pStyle w:val="62"/>
      </w:pPr>
      <w:r>
        <w:t>P</w:t>
      </w:r>
      <w:r>
        <w:rPr>
          <w:rFonts w:hint="eastAsia"/>
          <w:lang w:val="en-US" w:eastAsia="zh-CN"/>
        </w:rPr>
        <w:t>H</w:t>
      </w:r>
      <w:r>
        <w:tab/>
      </w:r>
      <w:r>
        <w:t xml:space="preserve">Paging </w:t>
      </w:r>
      <w:r>
        <w:rPr>
          <w:rFonts w:hint="eastAsia"/>
        </w:rPr>
        <w:t>Hyperframes</w:t>
      </w:r>
    </w:p>
    <w:p>
      <w:pPr>
        <w:pStyle w:val="62"/>
      </w:pPr>
      <w:r>
        <w:t>PO</w:t>
      </w:r>
      <w:r>
        <w:tab/>
      </w:r>
      <w:r>
        <w:t>Paging Occasion</w:t>
      </w:r>
    </w:p>
    <w:p>
      <w:pPr>
        <w:pStyle w:val="62"/>
      </w:pPr>
      <w:r>
        <w:t>PTP</w:t>
      </w:r>
      <w:r>
        <w:tab/>
      </w:r>
      <w:r>
        <w:t>Point to Point</w:t>
      </w:r>
    </w:p>
    <w:p>
      <w:pPr>
        <w:pStyle w:val="62"/>
        <w:rPr>
          <w:lang w:eastAsia="zh-CN"/>
        </w:rPr>
      </w:pPr>
      <w:r>
        <w:t>PTM</w:t>
      </w:r>
      <w:r>
        <w:tab/>
      </w:r>
      <w:r>
        <w:t>Point to Multipoint</w:t>
      </w:r>
    </w:p>
    <w:p>
      <w:pPr>
        <w:pStyle w:val="62"/>
        <w:rPr>
          <w:lang w:eastAsia="zh-CN"/>
        </w:rPr>
      </w:pPr>
      <w:r>
        <w:rPr>
          <w:lang w:eastAsia="zh-CN"/>
        </w:rPr>
        <w:t>QMC</w:t>
      </w:r>
      <w:r>
        <w:rPr>
          <w:lang w:eastAsia="zh-CN"/>
        </w:rPr>
        <w:tab/>
      </w:r>
      <w:r>
        <w:rPr>
          <w:lang w:eastAsia="zh-CN"/>
        </w:rPr>
        <w:t>QoE Measurement Collection</w:t>
      </w:r>
    </w:p>
    <w:p>
      <w:pPr>
        <w:pStyle w:val="62"/>
      </w:pPr>
      <w:r>
        <w:t>QoE</w:t>
      </w:r>
      <w:r>
        <w:tab/>
      </w:r>
      <w:r>
        <w:t>Quality of Experience</w:t>
      </w:r>
    </w:p>
    <w:p>
      <w:pPr>
        <w:pStyle w:val="62"/>
      </w:pPr>
      <w:r>
        <w:t>QoS</w:t>
      </w:r>
      <w:r>
        <w:tab/>
      </w:r>
      <w:r>
        <w:t>Quality of Service</w:t>
      </w:r>
    </w:p>
    <w:p>
      <w:pPr>
        <w:pStyle w:val="62"/>
        <w:rPr>
          <w:rFonts w:eastAsia="宋体"/>
          <w:lang w:val="en-US" w:eastAsia="zh-CN"/>
        </w:rPr>
      </w:pPr>
      <w:r>
        <w:rPr>
          <w:rFonts w:hint="eastAsia" w:eastAsia="宋体"/>
          <w:lang w:val="en-US" w:eastAsia="zh-CN"/>
        </w:rPr>
        <w:t>RedCap</w:t>
      </w:r>
      <w:r>
        <w:tab/>
      </w:r>
      <w:r>
        <w:rPr>
          <w:rFonts w:hint="eastAsia" w:eastAsia="宋体"/>
          <w:lang w:val="en-US" w:eastAsia="zh-CN"/>
        </w:rPr>
        <w:t>Reduced Capability</w:t>
      </w:r>
    </w:p>
    <w:p>
      <w:pPr>
        <w:pStyle w:val="62"/>
      </w:pPr>
      <w:r>
        <w:t>RIM</w:t>
      </w:r>
      <w:r>
        <w:tab/>
      </w:r>
      <w:r>
        <w:t>Remote Interference Management</w:t>
      </w:r>
    </w:p>
    <w:p>
      <w:pPr>
        <w:pStyle w:val="62"/>
      </w:pPr>
      <w:r>
        <w:t>RLC</w:t>
      </w:r>
      <w:r>
        <w:tab/>
      </w:r>
      <w:r>
        <w:t>Radio Link Control</w:t>
      </w:r>
    </w:p>
    <w:p>
      <w:pPr>
        <w:pStyle w:val="62"/>
      </w:pPr>
      <w:r>
        <w:t>RRC</w:t>
      </w:r>
      <w:r>
        <w:tab/>
      </w:r>
      <w:r>
        <w:t>Radio Resource Control</w:t>
      </w:r>
    </w:p>
    <w:p>
      <w:pPr>
        <w:pStyle w:val="62"/>
      </w:pPr>
      <w:r>
        <w:t>SCTP</w:t>
      </w:r>
      <w:r>
        <w:tab/>
      </w:r>
      <w:r>
        <w:t>Stream Control Transmission Protocol</w:t>
      </w:r>
    </w:p>
    <w:p>
      <w:pPr>
        <w:pStyle w:val="62"/>
      </w:pPr>
      <w:r>
        <w:t>SRB</w:t>
      </w:r>
      <w:r>
        <w:tab/>
      </w:r>
      <w:r>
        <w:t>Signalling Radio Bearers</w:t>
      </w:r>
    </w:p>
    <w:p>
      <w:pPr>
        <w:pStyle w:val="62"/>
        <w:rPr>
          <w:lang w:val="en-US" w:eastAsia="zh-CN"/>
        </w:rPr>
      </w:pPr>
      <w:r>
        <w:t>SIB1</w:t>
      </w:r>
      <w:r>
        <w:tab/>
      </w:r>
      <w:r>
        <w:t>System Information Block 1</w:t>
      </w:r>
    </w:p>
    <w:p>
      <w:pPr>
        <w:pStyle w:val="62"/>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pPr>
        <w:pStyle w:val="62"/>
      </w:pPr>
      <w:r>
        <w:t>SIB10</w:t>
      </w:r>
      <w:r>
        <w:tab/>
      </w:r>
      <w:r>
        <w:t xml:space="preserve">System Information Block 10 </w:t>
      </w:r>
    </w:p>
    <w:p>
      <w:pPr>
        <w:pStyle w:val="62"/>
      </w:pPr>
      <w:r>
        <w:t>SIB12</w:t>
      </w:r>
      <w:r>
        <w:tab/>
      </w:r>
      <w:r>
        <w:t>System Information Block 12</w:t>
      </w:r>
    </w:p>
    <w:p>
      <w:pPr>
        <w:pStyle w:val="62"/>
      </w:pPr>
      <w:r>
        <w:t>SIB13</w:t>
      </w:r>
      <w:r>
        <w:tab/>
      </w:r>
      <w:r>
        <w:t>System Information Block 13</w:t>
      </w:r>
    </w:p>
    <w:p>
      <w:pPr>
        <w:pStyle w:val="62"/>
      </w:pPr>
      <w:r>
        <w:t>SIB14</w:t>
      </w:r>
      <w:r>
        <w:tab/>
      </w:r>
      <w:r>
        <w:t>System Information Block 14</w:t>
      </w:r>
    </w:p>
    <w:p>
      <w:pPr>
        <w:pStyle w:val="62"/>
      </w:pPr>
      <w:r>
        <w:t>SIB15</w:t>
      </w:r>
      <w:r>
        <w:tab/>
      </w:r>
      <w:r>
        <w:t>System Information Block 15</w:t>
      </w:r>
    </w:p>
    <w:p>
      <w:pPr>
        <w:pStyle w:val="62"/>
      </w:pPr>
      <w:r>
        <w:t>SIB17</w:t>
      </w:r>
      <w:r>
        <w:tab/>
      </w:r>
      <w:r>
        <w:t>System Information Block 17</w:t>
      </w:r>
    </w:p>
    <w:p>
      <w:pPr>
        <w:pStyle w:val="62"/>
      </w:pPr>
      <w:r>
        <w:t>SIB18</w:t>
      </w:r>
      <w:r>
        <w:tab/>
      </w:r>
      <w:r>
        <w:t>System Information Block 18</w:t>
      </w:r>
    </w:p>
    <w:p>
      <w:pPr>
        <w:pStyle w:val="62"/>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pPr>
        <w:pStyle w:val="62"/>
        <w:rPr>
          <w:ins w:id="0" w:author="ZTE_Weiqiang Du" w:date="2024-05-09T09:34:03Z"/>
          <w:rFonts w:hint="eastAsia"/>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pPr>
        <w:pStyle w:val="62"/>
        <w:rPr>
          <w:rFonts w:hint="default"/>
          <w:lang w:val="en-US" w:eastAsia="zh-CN"/>
        </w:rPr>
      </w:pPr>
      <w:ins w:id="1" w:author="ZTE_Weiqiang Du" w:date="2024-05-09T09:34:04Z">
        <w:r>
          <w:rPr>
            <w:rFonts w:hint="eastAsia"/>
            <w:lang w:val="en-US" w:eastAsia="zh-CN"/>
          </w:rPr>
          <w:t>SIB2</w:t>
        </w:r>
      </w:ins>
      <w:ins w:id="2" w:author="ZTE_Weiqiang Du" w:date="2024-05-09T09:34:07Z">
        <w:r>
          <w:rPr>
            <w:rFonts w:hint="eastAsia"/>
            <w:lang w:val="en-US" w:eastAsia="zh-CN"/>
          </w:rPr>
          <w:t>3</w:t>
        </w:r>
      </w:ins>
      <w:ins w:id="3" w:author="ZTE_Weiqiang Du" w:date="2024-05-09T09:34:04Z">
        <w:r>
          <w:rPr>
            <w:rFonts w:hint="eastAsia"/>
            <w:lang w:val="en-US" w:eastAsia="zh-CN"/>
          </w:rPr>
          <w:tab/>
        </w:r>
      </w:ins>
      <w:ins w:id="4" w:author="ZTE_Weiqiang Du" w:date="2024-05-09T09:34:04Z">
        <w:r>
          <w:rPr/>
          <w:t xml:space="preserve">System Information Block </w:t>
        </w:r>
      </w:ins>
      <w:ins w:id="5" w:author="ZTE_Weiqiang Du" w:date="2024-05-09T09:34:04Z">
        <w:r>
          <w:rPr>
            <w:rFonts w:hint="eastAsia"/>
            <w:lang w:val="en-US" w:eastAsia="zh-CN"/>
          </w:rPr>
          <w:t>2</w:t>
        </w:r>
      </w:ins>
      <w:ins w:id="6" w:author="ZTE_Weiqiang Du" w:date="2024-05-09T09:34:09Z">
        <w:r>
          <w:rPr>
            <w:rFonts w:hint="eastAsia"/>
            <w:lang w:val="en-US" w:eastAsia="zh-CN"/>
          </w:rPr>
          <w:t>3</w:t>
        </w:r>
      </w:ins>
    </w:p>
    <w:p>
      <w:pPr>
        <w:pStyle w:val="62"/>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pPr>
        <w:pStyle w:val="62"/>
      </w:pPr>
      <w:r>
        <w:t>SL</w:t>
      </w:r>
      <w:r>
        <w:tab/>
      </w:r>
      <w:r>
        <w:t>Sidelink</w:t>
      </w:r>
    </w:p>
    <w:p>
      <w:pPr>
        <w:pStyle w:val="62"/>
      </w:pPr>
      <w:r>
        <w:t>TNL</w:t>
      </w:r>
      <w:r>
        <w:tab/>
      </w:r>
      <w:r>
        <w:t>Transport Network Layer</w:t>
      </w:r>
    </w:p>
    <w:p>
      <w:pPr>
        <w:pStyle w:val="62"/>
      </w:pPr>
      <w:r>
        <w:t xml:space="preserve">U2N </w:t>
      </w:r>
      <w:r>
        <w:tab/>
      </w:r>
      <w:r>
        <w:t>UE-to-Network</w:t>
      </w:r>
    </w:p>
    <w:p>
      <w:pPr>
        <w:pStyle w:val="62"/>
      </w:pPr>
      <w:r>
        <w:t>U2U</w:t>
      </w:r>
      <w:r>
        <w:tab/>
      </w:r>
      <w:r>
        <w:t>UE-to-UE</w:t>
      </w:r>
    </w:p>
    <w:p>
      <w:pPr>
        <w:pStyle w:val="62"/>
      </w:pPr>
      <w:r>
        <w:t>V2X</w:t>
      </w:r>
      <w:r>
        <w:tab/>
      </w:r>
      <w:r>
        <w:t>Vehicle-to-Everything</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Pr>
        <w:rPr>
          <w:rFonts w:eastAsia="宋体"/>
          <w:lang w:eastAsia="zh-CN"/>
        </w:rPr>
      </w:pPr>
    </w:p>
    <w:p>
      <w:pPr>
        <w:pStyle w:val="4"/>
      </w:pPr>
      <w:bookmarkStart w:id="7" w:name="_Toc29393003"/>
      <w:bookmarkStart w:id="8" w:name="_Toc74152922"/>
      <w:bookmarkStart w:id="9" w:name="_Toc105668013"/>
      <w:bookmarkStart w:id="10" w:name="_Toc13920087"/>
      <w:bookmarkStart w:id="11" w:name="_Toc64448126"/>
      <w:bookmarkStart w:id="12" w:name="_Toc29393051"/>
      <w:bookmarkStart w:id="13" w:name="_Toc112769904"/>
      <w:bookmarkStart w:id="14" w:name="_Toc98932584"/>
      <w:bookmarkStart w:id="15" w:name="_Toc36556405"/>
      <w:bookmarkStart w:id="16" w:name="_Toc162622370"/>
      <w:bookmarkStart w:id="17" w:name="_Toc45833069"/>
      <w:bookmarkStart w:id="18" w:name="_Toc97909418"/>
      <w:r>
        <w:t>5.2.2</w:t>
      </w:r>
      <w:r>
        <w:tab/>
      </w:r>
      <w:r>
        <w:t>System Information management function</w:t>
      </w:r>
      <w:bookmarkEnd w:id="7"/>
      <w:bookmarkEnd w:id="8"/>
      <w:bookmarkEnd w:id="9"/>
      <w:bookmarkEnd w:id="10"/>
      <w:bookmarkEnd w:id="11"/>
      <w:bookmarkEnd w:id="12"/>
      <w:bookmarkEnd w:id="13"/>
      <w:bookmarkEnd w:id="14"/>
      <w:bookmarkEnd w:id="15"/>
      <w:bookmarkEnd w:id="16"/>
      <w:bookmarkEnd w:id="17"/>
      <w:bookmarkEnd w:id="18"/>
    </w:p>
    <w:p>
      <w:r>
        <w:t>Scheduling of system broadcast information is carried out in the gNB-DU. The gNB-DU is responsible for transmitting the system information according to the scheduling parameters available.</w:t>
      </w:r>
    </w:p>
    <w:p>
      <w:r>
        <w:rPr>
          <w:rFonts w:hint="eastAsia"/>
        </w:rPr>
        <w:t xml:space="preserve">The gNB-DU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gNB-DU is responsible for the encoding of </w:t>
      </w:r>
      <w:r>
        <w:t xml:space="preserve">the </w:t>
      </w:r>
      <w:r>
        <w:rPr>
          <w:rFonts w:hint="eastAsia"/>
        </w:rPr>
        <w:t>SIB1</w:t>
      </w:r>
      <w:r>
        <w:t xml:space="preserve"> message, SIB10, SIB12, SIB13, SIB14, SIB15,</w:t>
      </w:r>
      <w:r>
        <w:rPr>
          <w:rFonts w:hint="eastAsia"/>
        </w:rPr>
        <w:t xml:space="preserve"> </w:t>
      </w:r>
      <w:r>
        <w:t>SIB17, SIB18, SIB20</w:t>
      </w:r>
      <w:r>
        <w:rPr>
          <w:rFonts w:hint="eastAsia"/>
          <w:lang w:val="en-US" w:eastAsia="zh-CN"/>
        </w:rPr>
        <w:t>, SIB22</w:t>
      </w:r>
      <w:ins w:id="7" w:author="ZTE_Weiqiang Du" w:date="2024-05-05T16:52:23Z">
        <w:r>
          <w:rPr>
            <w:rFonts w:hint="eastAsia"/>
            <w:lang w:val="en-US" w:eastAsia="zh-CN"/>
          </w:rPr>
          <w:t>,</w:t>
        </w:r>
      </w:ins>
      <w:ins w:id="8" w:author="ZTE_Weiqiang Du" w:date="2024-05-05T16:52:24Z">
        <w:r>
          <w:rPr>
            <w:rFonts w:hint="eastAsia"/>
            <w:lang w:val="en-US" w:eastAsia="zh-CN"/>
          </w:rPr>
          <w:t xml:space="preserve"> </w:t>
        </w:r>
      </w:ins>
      <w:ins w:id="9" w:author="ZTE_Weiqiang Du" w:date="2024-05-05T16:52:25Z">
        <w:r>
          <w:rPr>
            <w:rFonts w:hint="eastAsia"/>
            <w:lang w:val="en-US" w:eastAsia="zh-CN"/>
          </w:rPr>
          <w:t>SIB</w:t>
        </w:r>
      </w:ins>
      <w:ins w:id="10" w:author="ZTE_Weiqiang Du" w:date="2024-05-05T16:52:26Z">
        <w:r>
          <w:rPr>
            <w:rFonts w:hint="eastAsia"/>
            <w:lang w:val="en-US" w:eastAsia="zh-CN"/>
          </w:rPr>
          <w:t>23</w:t>
        </w:r>
      </w:ins>
      <w:r>
        <w:t xml:space="preserve"> and SIB</w:t>
      </w:r>
      <w:r>
        <w:rPr>
          <w:rFonts w:hint="eastAsia"/>
          <w:lang w:val="en-US" w:eastAsia="zh-CN"/>
        </w:rPr>
        <w:t>24</w:t>
      </w:r>
      <w:r>
        <w:t xml:space="preserve">, </w:t>
      </w:r>
      <w:r>
        <w:rPr>
          <w:rFonts w:hint="eastAsia"/>
        </w:rPr>
        <w:t>and t</w:t>
      </w:r>
      <w:r>
        <w:t>he</w:t>
      </w:r>
      <w:r>
        <w:rPr>
          <w:rFonts w:hint="eastAsia"/>
        </w:rPr>
        <w:t xml:space="preserve"> gNB-CU is responsible for the </w:t>
      </w:r>
      <w:r>
        <w:t>encoding</w:t>
      </w:r>
      <w:r>
        <w:rPr>
          <w:rFonts w:hint="eastAsia"/>
        </w:rPr>
        <w:t xml:space="preserve"> of other </w:t>
      </w:r>
      <w:r>
        <w:t>SIBs</w:t>
      </w:r>
      <w:r>
        <w:rPr>
          <w:rFonts w:hint="eastAsia"/>
        </w:rPr>
        <w:t>.</w:t>
      </w:r>
      <w:r>
        <w:t xml:space="preserve"> The gNB-DU may re-encode SIB9. The gNB-DU is responsible for the generation of the SystemInformation message.</w:t>
      </w:r>
    </w:p>
    <w:p>
      <w:pPr>
        <w:pStyle w:val="57"/>
      </w:pPr>
      <w:r>
        <w:t>NOTE:</w:t>
      </w:r>
      <w:r>
        <w:tab/>
      </w:r>
      <w:r>
        <w:t>The SIB19 is generated by the gNB-DU.</w:t>
      </w:r>
    </w:p>
    <w:p>
      <w:r>
        <w:t>The gNB-CU is responsible for receiving the positioning assistance information from LMF, e.g the positioning related SIBs. The gNB-CU transparently sends the positioning assistance information to the gNB-DU. The gNB-DU is responsible for broadcasting the positioning assistance information in Positioning SI message(s).</w:t>
      </w:r>
    </w:p>
    <w:p>
      <w:r>
        <w:t xml:space="preserve">To support Msg3 based on-demand SI and RRC Dedicated SIB Request as described in TS 38.331 [11], the gNB-CU can confirm the received SI request from the UE by including the UE identity, and command the gNB-DU to broadcast the requested </w:t>
      </w:r>
      <w:r>
        <w:rPr>
          <w:i/>
          <w:lang w:eastAsia="zh-CN"/>
        </w:rPr>
        <w:t>SystemInformation</w:t>
      </w:r>
      <w:r>
        <w:t xml:space="preserve"> messages including the other SI.</w:t>
      </w:r>
    </w:p>
    <w:p>
      <w:r>
        <w:t>To support UE RRC Positioning SI acquisition mechanism, as described in TS 38.331 [11], the gNB-CU can confirm the received positioning SI request from the UE by including the UE identity, and command the gNB-DU to broadcast the requested positioning SI messages.</w:t>
      </w:r>
    </w:p>
    <w:p>
      <w:pPr>
        <w:pStyle w:val="57"/>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0C2EFF"/>
    <w:rsid w:val="02EA0F7C"/>
    <w:rsid w:val="043E7CD8"/>
    <w:rsid w:val="04502410"/>
    <w:rsid w:val="04E515A3"/>
    <w:rsid w:val="06062ADD"/>
    <w:rsid w:val="078C079A"/>
    <w:rsid w:val="08C9548D"/>
    <w:rsid w:val="0B4A14A2"/>
    <w:rsid w:val="0B757B21"/>
    <w:rsid w:val="0C60276A"/>
    <w:rsid w:val="0E51610C"/>
    <w:rsid w:val="0E5E5585"/>
    <w:rsid w:val="0EB54D70"/>
    <w:rsid w:val="0FAA4453"/>
    <w:rsid w:val="10332045"/>
    <w:rsid w:val="119A1A4D"/>
    <w:rsid w:val="11D900F1"/>
    <w:rsid w:val="13FE288E"/>
    <w:rsid w:val="14685331"/>
    <w:rsid w:val="14720192"/>
    <w:rsid w:val="14C4250F"/>
    <w:rsid w:val="16C3393A"/>
    <w:rsid w:val="17484B1E"/>
    <w:rsid w:val="193E25B8"/>
    <w:rsid w:val="19672035"/>
    <w:rsid w:val="1AC06D93"/>
    <w:rsid w:val="1BBA6657"/>
    <w:rsid w:val="1CDE008F"/>
    <w:rsid w:val="1D2C15EA"/>
    <w:rsid w:val="1D6F2555"/>
    <w:rsid w:val="1F443F41"/>
    <w:rsid w:val="207616B7"/>
    <w:rsid w:val="212A016C"/>
    <w:rsid w:val="212F3968"/>
    <w:rsid w:val="238151CA"/>
    <w:rsid w:val="239F021D"/>
    <w:rsid w:val="23F7334D"/>
    <w:rsid w:val="246A68DE"/>
    <w:rsid w:val="24EC09F4"/>
    <w:rsid w:val="25240A45"/>
    <w:rsid w:val="26E8374A"/>
    <w:rsid w:val="2A826C10"/>
    <w:rsid w:val="2AA544B1"/>
    <w:rsid w:val="2BA14759"/>
    <w:rsid w:val="2D02329A"/>
    <w:rsid w:val="2D62740A"/>
    <w:rsid w:val="2E481F06"/>
    <w:rsid w:val="2F7F318D"/>
    <w:rsid w:val="30E5053E"/>
    <w:rsid w:val="34585032"/>
    <w:rsid w:val="36377332"/>
    <w:rsid w:val="376A028F"/>
    <w:rsid w:val="39664269"/>
    <w:rsid w:val="3A14592D"/>
    <w:rsid w:val="3CCC6F15"/>
    <w:rsid w:val="3CFB66AE"/>
    <w:rsid w:val="3D120EF5"/>
    <w:rsid w:val="3F23496D"/>
    <w:rsid w:val="3F922821"/>
    <w:rsid w:val="402C7E39"/>
    <w:rsid w:val="406367EC"/>
    <w:rsid w:val="425F4A57"/>
    <w:rsid w:val="432921D3"/>
    <w:rsid w:val="43FF679B"/>
    <w:rsid w:val="44323A7E"/>
    <w:rsid w:val="4479695F"/>
    <w:rsid w:val="46FC098D"/>
    <w:rsid w:val="48010E28"/>
    <w:rsid w:val="490D72B7"/>
    <w:rsid w:val="49956CC8"/>
    <w:rsid w:val="4A2A1D6D"/>
    <w:rsid w:val="4A3E157B"/>
    <w:rsid w:val="4B296FDE"/>
    <w:rsid w:val="4B666A81"/>
    <w:rsid w:val="4C47558E"/>
    <w:rsid w:val="4D962096"/>
    <w:rsid w:val="4DE058C3"/>
    <w:rsid w:val="4E9B77DD"/>
    <w:rsid w:val="509C4FE2"/>
    <w:rsid w:val="51696C63"/>
    <w:rsid w:val="52A74EAE"/>
    <w:rsid w:val="544E0FDA"/>
    <w:rsid w:val="545A7656"/>
    <w:rsid w:val="54BF6A76"/>
    <w:rsid w:val="54FC18B9"/>
    <w:rsid w:val="551B5464"/>
    <w:rsid w:val="5701545C"/>
    <w:rsid w:val="576447CE"/>
    <w:rsid w:val="57E84168"/>
    <w:rsid w:val="585328C9"/>
    <w:rsid w:val="58A611A4"/>
    <w:rsid w:val="59AF2031"/>
    <w:rsid w:val="5B0725F5"/>
    <w:rsid w:val="5B786F30"/>
    <w:rsid w:val="5D394D99"/>
    <w:rsid w:val="5D6A19A1"/>
    <w:rsid w:val="5FF728F7"/>
    <w:rsid w:val="607F37B0"/>
    <w:rsid w:val="61535C61"/>
    <w:rsid w:val="62644A7F"/>
    <w:rsid w:val="62797FE1"/>
    <w:rsid w:val="645A1B47"/>
    <w:rsid w:val="66A41256"/>
    <w:rsid w:val="66BA6DAB"/>
    <w:rsid w:val="67434040"/>
    <w:rsid w:val="67516FA1"/>
    <w:rsid w:val="675D5046"/>
    <w:rsid w:val="678D75B5"/>
    <w:rsid w:val="68D31C61"/>
    <w:rsid w:val="693774F1"/>
    <w:rsid w:val="6B9062AC"/>
    <w:rsid w:val="6CBF555B"/>
    <w:rsid w:val="6DF660E8"/>
    <w:rsid w:val="6F442404"/>
    <w:rsid w:val="70B46FA4"/>
    <w:rsid w:val="72801972"/>
    <w:rsid w:val="730A7F98"/>
    <w:rsid w:val="73112C58"/>
    <w:rsid w:val="73834A71"/>
    <w:rsid w:val="73FD046A"/>
    <w:rsid w:val="747254AC"/>
    <w:rsid w:val="74824675"/>
    <w:rsid w:val="74A10619"/>
    <w:rsid w:val="755033EF"/>
    <w:rsid w:val="777720C2"/>
    <w:rsid w:val="7777744E"/>
    <w:rsid w:val="77CA03B2"/>
    <w:rsid w:val="77F47AE6"/>
    <w:rsid w:val="79481D13"/>
    <w:rsid w:val="7B721E2C"/>
    <w:rsid w:val="7C2424AD"/>
    <w:rsid w:val="7C394752"/>
    <w:rsid w:val="7C4B2C46"/>
    <w:rsid w:val="7D9F07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628</Words>
  <Characters>3433</Characters>
  <Lines>18</Lines>
  <Paragraphs>4</Paragraphs>
  <TotalTime>6</TotalTime>
  <ScaleCrop>false</ScaleCrop>
  <LinksUpToDate>false</LinksUpToDate>
  <CharactersWithSpaces>4866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2411-12-31T23:00:00Z</cp:lastPrinted>
  <dcterms:modified xsi:type="dcterms:W3CDTF">2024-05-10T06:34:55Z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